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8351"/>
      </w:tblGrid>
      <w:tr w:rsidR="00582632" w:rsidRPr="00582632" w:rsidTr="00582632">
        <w:trPr>
          <w:trHeight w:val="915"/>
          <w:tblCellSpacing w:w="0" w:type="dxa"/>
        </w:trPr>
        <w:tc>
          <w:tcPr>
            <w:tcW w:w="0" w:type="auto"/>
            <w:tcBorders>
              <w:bottom w:val="single" w:sz="6" w:space="0" w:color="C0AF97"/>
            </w:tcBorders>
            <w:shd w:val="clear" w:color="auto" w:fill="D3C7B6"/>
            <w:vAlign w:val="center"/>
            <w:hideMark/>
          </w:tcPr>
          <w:p w:rsidR="00582632" w:rsidRPr="00582632" w:rsidRDefault="00582632" w:rsidP="00582632">
            <w:pPr>
              <w:widowControl/>
              <w:spacing w:before="0" w:beforeAutospacing="0" w:after="0" w:afterAutospacing="0" w:line="240" w:lineRule="auto"/>
              <w:jc w:val="center"/>
              <w:outlineLvl w:val="9"/>
              <w:rPr>
                <w:rFonts w:ascii="黑体" w:eastAsia="黑体" w:hAnsi="Verdana" w:cs="宋体"/>
                <w:b/>
                <w:bCs/>
                <w:snapToGrid/>
                <w:sz w:val="28"/>
                <w:szCs w:val="28"/>
              </w:rPr>
            </w:pPr>
            <w:r w:rsidRPr="00582632">
              <w:rPr>
                <w:rFonts w:ascii="黑体" w:eastAsia="黑体" w:hAnsi="Verdana" w:cs="宋体" w:hint="eastAsia"/>
                <w:b/>
                <w:bCs/>
                <w:snapToGrid/>
                <w:sz w:val="28"/>
                <w:szCs w:val="28"/>
              </w:rPr>
              <w:t>发展休闲农业 促进农民增收</w:t>
            </w:r>
          </w:p>
        </w:tc>
      </w:tr>
      <w:tr w:rsidR="00582632" w:rsidRPr="00582632" w:rsidTr="00582632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2632" w:rsidRPr="00582632" w:rsidRDefault="00582632" w:rsidP="00582632">
            <w:pPr>
              <w:widowControl/>
              <w:spacing w:before="0" w:beforeAutospacing="0" w:after="0" w:afterAutospacing="0" w:line="240" w:lineRule="auto"/>
              <w:outlineLvl w:val="9"/>
              <w:rPr>
                <w:rFonts w:ascii="Verdana" w:hAnsi="Verdana" w:cs="宋体"/>
                <w:snapToGrid/>
                <w:sz w:val="18"/>
                <w:szCs w:val="18"/>
              </w:rPr>
            </w:pPr>
          </w:p>
        </w:tc>
      </w:tr>
    </w:tbl>
    <w:p w:rsidR="00582632" w:rsidRPr="00582632" w:rsidRDefault="00582632" w:rsidP="00582632">
      <w:pPr>
        <w:widowControl/>
        <w:spacing w:line="240" w:lineRule="auto"/>
        <w:outlineLvl w:val="9"/>
        <w:rPr>
          <w:rFonts w:ascii="Verdana" w:hAnsi="Verdana" w:cs="宋体"/>
          <w:snapToGrid/>
          <w:color w:val="000000"/>
          <w:sz w:val="18"/>
          <w:szCs w:val="18"/>
        </w:rPr>
      </w:pPr>
      <w:r w:rsidRPr="00582632">
        <w:rPr>
          <w:rFonts w:ascii="宋体" w:hAnsi="宋体" w:cs="宋体" w:hint="eastAsia"/>
          <w:i/>
          <w:iCs/>
          <w:snapToGrid/>
          <w:color w:val="8C3817"/>
          <w:sz w:val="21"/>
          <w:szCs w:val="21"/>
        </w:rPr>
        <w:t>——蒲江县发展休闲农业产业调查启示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 近年来，蒲江县在做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强做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优第一产业，“接二连三”融合发展休闲农业方面进行了大胆探索与实践，取得可喜成效，有力地促进了农民增收和现代农业产业发展。现就其发展态势、主要做法和启示作一调查分析。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 一、发展态势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 蒲江地处成都西南，全县幅员面积583平方公里，辖12乡镇，总人口26.3万人。该县充分利用自身资源禀赋优势和产业发展基础，大力发展休闲农业，先后荣获了“国家级生态示范区”、“国家级茶叶（猕猴桃）标准化示范区”、 “四川省乡村旅游示范县”、 四川最佳生态休闲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自驾游目的地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和成都市民心中最棒近郊游目的地等称号，呈现蓬勃发展态势。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（一）农业功能拓展和农村产业结构调整步入良性轨道。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全县现代农业呈现出优质茶叶、生猪、水果三业并举，规模化、科学化、市场化三化促动，“接二连三”融合发展的良好势头。重点发展了优质柑橘基地23万亩、生态茶叶基地20万亩、标准化猕猴桃基地6万亩、樱桃基地1.7万亩。全县完成了农产品无公害产地认证整体推进，绿色、有机和GAP认证16万亩，新开发有机农产品5个，有机绿茶、有机猪肉、有机竹笋相继上市，“蒲江雀舌”、“蒲江猕猴桃”先后获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批国家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地理标志保护产品，荣获“中国绿茶之乡”、“全国重点产茶县”称号，区域农业品牌和影响力全面提升。初步形成了农产品加工产业集群，农产品加工率提高至56%。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（二）农民就业增收快速提升。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全县休闲农业覆盖12个乡镇，从业人数97310人，其中农民88552人。今年1-10月，全县休闲农业已接待游客566万余人次，实现休闲农业收入5.49亿元，促进农民增收 2018元。预计全年实现农业总收入24.89亿元，全县农民人均纯收入实现7306元，农民休闲农业人均纯收入占全县农民人均纯收入的27.6%。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 （三）新农村建设有序推进。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全县乡村旅游区（点）道路、公交全部通达，乡村旅游观光区水、电、气、视、网络等设施完善。12个各具特色的农业旅游景区景点的成功打造，有力地改善了农村发展环境和村容村貌。成立农民专业合作经济组织和休闲农业行业组织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166家，带动农户6.39万户，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带户面达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90%。建立了各项优势特色产业的服务中心，培养了一大批有文化、懂经营、会管理的新型农民，提升了农民生活水平、农业生产水平、乡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风文明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水平，加快推进了新农村建设。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（四）城乡一体化发展迈进新天地。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全县基本形成了以政府为主导，以农业为依托，以农村为空间，以农民为主体，以城市居民为客源的休闲农业产业格局，有效地满足了城乡居民消费结构的升级需要，进一步缩小了城乡居民收入差距，全县城乡居民收入比为1:1.8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 二、主要做法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（一）坚持科学规划，有序开发资源。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立足“世界现代田园城市”的定位，科学编制了《蒲江县现代农业发展规划》、《蒲江旅游发展规划》等休闲农业和乡村旅游总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规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，以及《“三湖一阁”国际旅游区总体规划》、《蒲江县万亩樱桃山旅游度假区规划》等详规，实现了各项规划之间相互衔接、相互协调。同时，强化规划的刚性、法定性和严肃性，确保规划落到实处。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 （二）突出产业优势，推进融合发展。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依托产业高端，成立了茶叶、猕猴桃、生猪、柑橘等产业发展领导小组，以规模化、科技化、市场化“三化联动”的理念，重点培育发展优势特色产业，为休闲农业发展提供强有力的产业支撑。加强对特色优势农产品、农耕文化等休闲农业资源的保护、开发和利用，引导农业产业化龙头企业开发农业旅游产品，不断拓展农业功能，推动生态观光、休闲体验农业发展，加速资源优势向经济优势、发展优势的转化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（三）加强政策扶持，注入发展活力。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坚持把“大农业”和“大旅游”有机结合起来，县委、县政府出台了《蒲江县茶产业2010—2012年发展纲要》、《蒲江县猕猴桃产业发展实施意见》、《蒲江县柑橘产业发展意见》和《关于大力发展乡村旅游的意见》等规范性文件；县农业、旅游、国土、工商等部门联合制定了《蒲江县乡村旅游项目建设的实施意见》，在项目用地、审批、税收、信贷等方面给予优惠和扶持。每年安排不少于500万元的财政资金，用于休闲农业的活动开展、宣传促销、人才培训、表彰奖励等工作。近3年来，累计投入财政资金1.5亿元，扶持休闲农业发展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（四）优化发展环境，提高接待服务水平。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一是全面夯实硬环境。加速推进成新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蒲快速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路、成蒲铁路、区域交通干线和县域城乡路网等重大交通基础设施建设，实现了公路交通四通八达，公交车直达各景区、景点；全面规范全县景区（点）公共信息标识以及配套设施建设；完成了重点乡镇排污管网的改造，极大的提升了休闲农业形象。二是切实优化软环境。建立和完善了休闲农业旅游网络宣传平台、咨询和投诉热线；狠抓标准化服务建设，按照星级标准，对餐饮、住宿、娱乐、会务、商务等配套服务进行提档升级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（五）实施项目带动，促进高端化发展。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坚持以重大项目引领休闲农业发展，高起点、高标准、大投入开发休闲农业资源，推进产业向高端发展。2008年至今，全县实施休闲农业项目25个，累计完成投资25.3亿元；正在实施和即将启动项目8个，计划投资101亿元。目前，各项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目进展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顺利，产业形态初步形成。其中：花样</w:t>
      </w:r>
      <w:proofErr w:type="gramStart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年项目</w:t>
      </w:r>
      <w:proofErr w:type="gramEnd"/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打造“高尚绿色、生态旅游”为主题的生态农业旅游度假休闲小镇；保利石象湖项目打造集观光旅游、休闲度假和生态农业体验于一体的国际休闲度假社区；田园休闲度假区项目开发以山地运动和现代田园观光为主要内容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（六）加强宣传促销，提升休闲农业与乡村旅游知名度。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不断挖掘、整合优势休闲农业资源，包装推出了蒲江绿茶、猕猴桃等在国内外有一定影响力的农业旅游产品，充分利用西博会等会展活动广泛宣传推介，以农兴旅、以旅促农，有效提升了全县农业产业的附加值，极大提高了农民收入。通过成功举办首届中国采茶节、成都樱桃节等重大农业与旅游节会活动，加强与各种主流媒体的互动合作，全面推介了蒲江良好的生态农业与旅游资源，有力提升了蒲江县休闲农业的知名度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 （七）加强组织领导，建立健全工作体系。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蒲江县成立了以县长为组长、分管县领导为副组长、相关单位负责人为成员的蒲江县休闲农业发展领导小组。建立了休闲农业工作联席会议制度，定期研究、协调全县休闲农业发展过程中重大问题，研究制定有关政策措施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 三、几点启示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（一）政府推动是关键。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政府重视、部门配合、群众参与是搞好休闲农业的基础。休闲农业是集农业、服务业、旅游业为一体的新兴产业，需要在政府的统一领导下，充分发挥政府在项目、资金等方面的政策资源和统筹规划的优势， 农业、财政、旅游、建设、卫生、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lastRenderedPageBreak/>
        <w:t>公安等部门齐抓共管、协同推进，使休闲农业朝精品化、特色化、规模化方向发展，创新发展方式，推进多样化经营，实现资源的优化配置，获取最大的社会经济效益。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 </w:t>
      </w:r>
      <w:r w:rsidRPr="00582632">
        <w:rPr>
          <w:rFonts w:ascii="宋体" w:hAnsi="宋体" w:cs="宋体" w:hint="eastAsia"/>
          <w:b/>
          <w:bCs/>
          <w:snapToGrid/>
          <w:color w:val="000000"/>
          <w:sz w:val="21"/>
          <w:szCs w:val="21"/>
        </w:rPr>
        <w:t>（二）市场运作是基础。</w:t>
      </w: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在市场经济条件下发展休闲农业，政府的投入只是引子，要想取得更大的发展，必须走市场化运作道路。坚持“政府主导、业主开发、市场运作”的发展机制，启动民间资金，吸引外来资金投入景点开发、景区经营，同时培育重点龙头企业对重点景区、重要项目进行包装、筑巢引凤，搞好区域旅游协作，发展大旅游，提高综合开发规模及经营的能力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 （三）宣传促销是手段。休闲农业具有依赖性、脆弱性、综合性、季节性以及涉外性等整体特征，制定行之有效的宣传促销方案，建立符合市场经济规律的宣传促销体系至关重要。需综合广告宣传、公共关系、业务宣传等促销要素，充分利用新闻传播、软硬广告、节庆活动、展览推销等多种促销形式以适应休闲农业发展的需要，大力提升休闲农业知名度。</w:t>
      </w:r>
    </w:p>
    <w:p w:rsidR="00582632" w:rsidRPr="00582632" w:rsidRDefault="00582632" w:rsidP="00582632">
      <w:pPr>
        <w:widowControl/>
        <w:spacing w:line="460" w:lineRule="atLeast"/>
        <w:outlineLvl w:val="9"/>
        <w:rPr>
          <w:rFonts w:ascii="宋体" w:hAnsi="宋体" w:cs="宋体" w:hint="eastAsia"/>
          <w:snapToGrid/>
          <w:color w:val="000000"/>
          <w:sz w:val="21"/>
          <w:szCs w:val="21"/>
        </w:rPr>
      </w:pPr>
      <w:r w:rsidRPr="00582632">
        <w:rPr>
          <w:rFonts w:ascii="宋体" w:hAnsi="宋体" w:cs="宋体" w:hint="eastAsia"/>
          <w:snapToGrid/>
          <w:color w:val="000000"/>
          <w:sz w:val="21"/>
          <w:szCs w:val="21"/>
        </w:rPr>
        <w:t>    作者简介：傅志康，四川省农业厅党组副书记、常务副厅长</w:t>
      </w:r>
    </w:p>
    <w:p w:rsidR="000F56A6" w:rsidRPr="00582632" w:rsidRDefault="000F56A6"/>
    <w:sectPr w:rsidR="000F56A6" w:rsidRPr="00582632" w:rsidSect="000F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632"/>
    <w:rsid w:val="00096F86"/>
    <w:rsid w:val="000F56A6"/>
    <w:rsid w:val="001A3705"/>
    <w:rsid w:val="00310069"/>
    <w:rsid w:val="003911C2"/>
    <w:rsid w:val="00436832"/>
    <w:rsid w:val="0044025F"/>
    <w:rsid w:val="004B0DFF"/>
    <w:rsid w:val="00582632"/>
    <w:rsid w:val="006259F3"/>
    <w:rsid w:val="00633169"/>
    <w:rsid w:val="007B59D1"/>
    <w:rsid w:val="007F03C9"/>
    <w:rsid w:val="007F25EC"/>
    <w:rsid w:val="008C31B5"/>
    <w:rsid w:val="00974889"/>
    <w:rsid w:val="00D32523"/>
    <w:rsid w:val="00E511DC"/>
    <w:rsid w:val="00F7497E"/>
    <w:rsid w:val="00FA6ABF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6832"/>
    <w:pPr>
      <w:widowControl w:val="0"/>
      <w:spacing w:before="100" w:beforeAutospacing="1" w:after="100" w:afterAutospacing="1" w:line="360" w:lineRule="auto"/>
      <w:outlineLvl w:val="2"/>
    </w:pPr>
    <w:rPr>
      <w:rFonts w:ascii="Times New Roman" w:eastAsia="宋体" w:hAnsi="Times New Roman"/>
      <w:snapToGrid w:val="0"/>
      <w:kern w:val="0"/>
      <w:sz w:val="24"/>
      <w:szCs w:val="20"/>
    </w:rPr>
  </w:style>
  <w:style w:type="paragraph" w:styleId="1">
    <w:name w:val="heading 1"/>
    <w:aliases w:val="H1,第一章 标题 1,Heading 0,h1,章,标题 1 Char2,标题 1 Char1 Char,标题 1 Char Char Char,标题 1 Char Char1,一级,Fab-1,l0,段标题,1"/>
    <w:basedOn w:val="a"/>
    <w:next w:val="a"/>
    <w:link w:val="1Char"/>
    <w:autoRedefine/>
    <w:qFormat/>
    <w:rsid w:val="00436832"/>
    <w:pPr>
      <w:keepNext/>
      <w:keepLines/>
      <w:pageBreakBefore/>
      <w:spacing w:before="720" w:after="480" w:line="240" w:lineRule="auto"/>
      <w:jc w:val="center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H2,Chapter Heading,2nd level,h2,2,Titre2,l2,Heading 2 Char,节,二级,Heading 2 Hidden,Heading 2 CCBS,PA Major Section,heading 2,HD2,Titre3,Courseware #,Header 2,DO NOT USE_h2,chn,Chapter Number/Appendix Letter,sect 1.2,联融科技方案 标题 2,第一章 标题 2,ISO1,Fab-2,PI"/>
    <w:basedOn w:val="a"/>
    <w:next w:val="a"/>
    <w:link w:val="2Char"/>
    <w:autoRedefine/>
    <w:qFormat/>
    <w:rsid w:val="00436832"/>
    <w:pPr>
      <w:keepNext/>
      <w:keepLines/>
      <w:spacing w:before="240" w:after="240" w:line="240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aliases w:val="H3,标题 3 Char Char Char,Section,h3,3rd level,Section SubHeading,Résumé DI,Annotationen,hl3,Gliederung3,Gliederung31,h31,Heading 3 - old,l3,CT,Level 3 Head,Heading 3 Char Char Char Char Char,level_3,PIM 3,sect1.2.3,3,Bold Head,bh,Fab-3,标题3"/>
    <w:basedOn w:val="a"/>
    <w:next w:val="a"/>
    <w:link w:val="3Char"/>
    <w:autoRedefine/>
    <w:qFormat/>
    <w:rsid w:val="00436832"/>
    <w:pPr>
      <w:keepNext/>
      <w:keepLines/>
      <w:spacing w:beforeLines="50" w:afterLines="50"/>
    </w:pPr>
    <w:rPr>
      <w:rFonts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第一章 标题 1 Char,Heading 0 Char,h1 Char,章 Char,标题 1 Char2 Char,标题 1 Char1 Char Char,标题 1 Char Char Char Char,标题 1 Char Char1 Char,一级 Char,Fab-1 Char,l0 Char,段标题 Char,1 Char"/>
    <w:basedOn w:val="a0"/>
    <w:link w:val="1"/>
    <w:rsid w:val="00436832"/>
    <w:rPr>
      <w:rFonts w:ascii="Times New Roman" w:eastAsia="宋体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H2 Char,Chapter Heading Char,2nd level Char,h2 Char,2 Char,Titre2 Char,l2 Char,Heading 2 Char Char,节 Char,二级 Char,Heading 2 Hidden Char,Heading 2 CCBS Char,PA Major Section Char,heading 2 Char,HD2 Char,Titre3 Char,Courseware # Char,chn Char"/>
    <w:basedOn w:val="a0"/>
    <w:link w:val="2"/>
    <w:rsid w:val="00436832"/>
    <w:rPr>
      <w:rFonts w:ascii="Times New Roman" w:eastAsia="宋体" w:hAnsi="Times New Roman" w:cs="Times New Roman"/>
      <w:b/>
      <w:bCs/>
      <w:snapToGrid w:val="0"/>
      <w:kern w:val="0"/>
      <w:sz w:val="32"/>
      <w:szCs w:val="32"/>
    </w:rPr>
  </w:style>
  <w:style w:type="character" w:customStyle="1" w:styleId="3Char">
    <w:name w:val="标题 3 Char"/>
    <w:aliases w:val="H3 Char1,标题 3 Char Char Char Char1,Section Char1,h3 Char1,3rd level Char1,Section SubHeading Char1,Résumé DI Char1,Annotationen Char1,hl3 Char1,Gliederung3 Char1,Gliederung31 Char1,h31 Char1,Heading 3 - old Char1,l3 Char1,CT Char1,level_3 Char"/>
    <w:basedOn w:val="a0"/>
    <w:link w:val="3"/>
    <w:rsid w:val="00436832"/>
    <w:rPr>
      <w:rFonts w:ascii="Times New Roman" w:eastAsia="宋体" w:hAnsi="Times New Roman" w:cs="Times New Roman"/>
      <w:b/>
      <w:bCs/>
      <w:snapToGrid w:val="0"/>
      <w:kern w:val="0"/>
      <w:sz w:val="30"/>
      <w:szCs w:val="32"/>
    </w:rPr>
  </w:style>
  <w:style w:type="character" w:customStyle="1" w:styleId="3Char1">
    <w:name w:val="标题 3 Char1"/>
    <w:aliases w:val="H3 Char,标题 3 Char Char Char Char,Section Char,h3 Char,3rd level Char,Section SubHeading Char,Résumé DI Char,Annotationen Char,hl3 Char,Gliederung3 Char,Gliederung31 Char,h31 Char,Heading 3 - old Char,l3 Char,CT Char,Level 3 Head Char,3 Char"/>
    <w:basedOn w:val="a0"/>
    <w:rsid w:val="00436832"/>
    <w:rPr>
      <w:rFonts w:ascii="Times New Roman" w:eastAsia="宋体" w:hAnsi="Times New Roman" w:cs="Times New Roman"/>
      <w:b/>
      <w:bCs/>
      <w:snapToGrid w:val="0"/>
      <w:kern w:val="0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2704</Characters>
  <Application>Microsoft Office Word</Application>
  <DocSecurity>0</DocSecurity>
  <Lines>22</Lines>
  <Paragraphs>6</Paragraphs>
  <ScaleCrop>false</ScaleCrop>
  <Company>微软中国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2011-07-14T07:07:00Z</dcterms:created>
  <dcterms:modified xsi:type="dcterms:W3CDTF">2011-07-14T07:08:00Z</dcterms:modified>
</cp:coreProperties>
</file>