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14B9F" w:rsidRPr="00614B9F" w:rsidTr="00614B9F">
        <w:trPr>
          <w:trHeight w:val="915"/>
          <w:tblCellSpacing w:w="0" w:type="dxa"/>
        </w:trPr>
        <w:tc>
          <w:tcPr>
            <w:tcW w:w="0" w:type="auto"/>
            <w:tcBorders>
              <w:bottom w:val="single" w:sz="6" w:space="0" w:color="C0AF97"/>
            </w:tcBorders>
            <w:shd w:val="clear" w:color="auto" w:fill="D3C7B6"/>
            <w:vAlign w:val="center"/>
            <w:hideMark/>
          </w:tcPr>
          <w:p w:rsidR="00614B9F" w:rsidRPr="00614B9F" w:rsidRDefault="00614B9F" w:rsidP="00614B9F">
            <w:pPr>
              <w:widowControl/>
              <w:spacing w:before="0" w:beforeAutospacing="0" w:after="0" w:afterAutospacing="0" w:line="240" w:lineRule="auto"/>
              <w:jc w:val="center"/>
              <w:outlineLvl w:val="9"/>
              <w:rPr>
                <w:rFonts w:ascii="黑体" w:eastAsia="黑体" w:hAnsi="Verdana" w:cs="宋体"/>
                <w:b/>
                <w:bCs/>
                <w:snapToGrid/>
                <w:sz w:val="28"/>
                <w:szCs w:val="28"/>
              </w:rPr>
            </w:pPr>
            <w:r w:rsidRPr="00614B9F">
              <w:rPr>
                <w:rFonts w:ascii="黑体" w:eastAsia="黑体" w:hAnsi="Verdana" w:cs="宋体" w:hint="eastAsia"/>
                <w:b/>
                <w:bCs/>
                <w:snapToGrid/>
                <w:sz w:val="28"/>
                <w:szCs w:val="28"/>
              </w:rPr>
              <w:t>长兴县农家</w:t>
            </w:r>
            <w:proofErr w:type="gramStart"/>
            <w:r w:rsidRPr="00614B9F">
              <w:rPr>
                <w:rFonts w:ascii="黑体" w:eastAsia="黑体" w:hAnsi="Verdana" w:cs="宋体" w:hint="eastAsia"/>
                <w:b/>
                <w:bCs/>
                <w:snapToGrid/>
                <w:sz w:val="28"/>
                <w:szCs w:val="28"/>
              </w:rPr>
              <w:t>乐管理</w:t>
            </w:r>
            <w:proofErr w:type="gramEnd"/>
            <w:r w:rsidRPr="00614B9F">
              <w:rPr>
                <w:rFonts w:ascii="黑体" w:eastAsia="黑体" w:hAnsi="Verdana" w:cs="宋体" w:hint="eastAsia"/>
                <w:b/>
                <w:bCs/>
                <w:snapToGrid/>
                <w:sz w:val="28"/>
                <w:szCs w:val="28"/>
              </w:rPr>
              <w:t>暂行办法</w:t>
            </w:r>
          </w:p>
        </w:tc>
      </w:tr>
    </w:tbl>
    <w:p w:rsidR="00614B9F" w:rsidRPr="00614B9F" w:rsidRDefault="00614B9F" w:rsidP="00614B9F">
      <w:pPr>
        <w:widowControl/>
        <w:spacing w:before="0" w:beforeAutospacing="0" w:after="0" w:afterAutospacing="0" w:line="240" w:lineRule="auto"/>
        <w:jc w:val="center"/>
        <w:outlineLvl w:val="9"/>
        <w:rPr>
          <w:rFonts w:ascii="Verdana" w:hAnsi="Verdana" w:cs="宋体"/>
          <w:snapToGrid/>
          <w:vanish/>
          <w:color w:val="000000"/>
          <w:sz w:val="18"/>
          <w:szCs w:val="1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14B9F" w:rsidRPr="00614B9F" w:rsidTr="00614B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4B9F" w:rsidRPr="00614B9F" w:rsidRDefault="00614B9F" w:rsidP="00614B9F">
            <w:pPr>
              <w:widowControl/>
              <w:spacing w:before="0" w:beforeAutospacing="0" w:after="0" w:afterAutospacing="0" w:line="240" w:lineRule="auto"/>
              <w:outlineLvl w:val="9"/>
              <w:rPr>
                <w:rFonts w:ascii="Verdana" w:hAnsi="Verdana" w:cs="宋体"/>
                <w:snapToGrid/>
                <w:sz w:val="18"/>
                <w:szCs w:val="18"/>
              </w:rPr>
            </w:pPr>
          </w:p>
        </w:tc>
      </w:tr>
    </w:tbl>
    <w:p w:rsidR="00614B9F" w:rsidRPr="00614B9F" w:rsidRDefault="00614B9F" w:rsidP="00614B9F">
      <w:pPr>
        <w:widowControl/>
        <w:spacing w:line="240" w:lineRule="auto"/>
        <w:jc w:val="center"/>
        <w:outlineLvl w:val="9"/>
        <w:rPr>
          <w:rFonts w:ascii="宋体" w:hAnsi="宋体" w:cs="宋体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长兴县农家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乐管理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暂行办法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第一条为了规范农家乐的经营行为，提高农家乐服务质量，促进农家乐快速、持续、健康发展，根据有关法律、法规，结合本县农家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乐发展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的实际情况，特制定本办法。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第二条本办法所称的农家乐是指以农民家庭为基本接待单位，以农业、农村、农事为主要载体，以利用环境资源、农村活动、农民生活资源、体验农村生活为主要特点；以“吃农家饭、住农家屋、干农家活、享农家乐”为主要内容；以旅游经营为目的的旅游项目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第三条农家乐由县旅游局认定并授牌。授牌的农家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乐享受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县政府出台的有关农家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乐发展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的优惠政策。未经县旅游局认定授牌的农家餐馆（旅馆）不属于本办法管理范畴，不享受农家乐的各项优惠政策。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第四条本县行政区域内，开展农家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乐经营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服务的，必须遵守本办法。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第五条县农家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乐发展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综合协调小组是全县农家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乐发展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的领导机构，协调小组下设办公室，办公室设在县旅游局。协调小组负责农家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乐发展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过程中重大问题的决策及农家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乐管理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中涉及全局性、政策性问题的协调和处置。县旅游局是农家乐的行业主管部门，负责农家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乐产业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发展的指导、服务和管理，承担农家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乐发展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综合协调小组办公室职责，负责协调有关部门，形成服务和管理的合力。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第六条各职能部门应加强对农家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乐经营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户的监管，工商、税务、卫生、消防、环保、质监、文广新等部门要按照各自的职责，做好对农家乐的管理和服务工作。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第七条工商、税务、卫生、消防等有关职能部门，根据行政许可对符合条件的经营业主应主动、快捷、优质地为其办理相关证照。不得设置其他前置条件。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第八条乡镇政府承担农家乐建设项目的审核和报批，负责农家乐日常管理及相关问题的协调解决。农家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乐发展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重点乡镇要设立旅游办公室，由政府分管领导兼任办公室主任，并明确一名副主任和1至2名工作人员。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第九条从事农家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乐经营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活动应按国家规定，依法取得营业执照。法律、法规规定需经相关部门许可的，应取得相应的经营许可。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第十条农家乐用地必须符合乡镇土地利用总体规划，不得改变土地使用性质。农家乐房屋属农村居民住宅，不因用于旅游服务而改变其性质，因国家建设需要征用土地时，房屋拆迁补偿按有关法律法规的规定执行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第十一条农家乐的建筑、附属设施和运营管理应符合消防、安全、卫生、环境保护等现行的国家有关法规和标准，符合长兴县《农家乐服务质量通用要求》的规定。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lastRenderedPageBreak/>
        <w:t>第十二条农家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乐经营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户对旅游活动中可能出现危险的区域和项目，应当设置警示标志，并采取必要的防护措施。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乐发生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突发公共事件时，经营户应当迅速采取有效措施，实施应急处置，并按国家有关规定立即如实报告当地公安、安监、卫生、环保、质监、旅游等有关部门。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第十三条农家乐从业人员应具备良好的职业道德和专业技能。从事饮食业及其他直接为游客服务的人员，应按国家规定取得有效健康合格证明。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第十四条农家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乐经营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户在经营活动中应当依法经营、公平竞争、诚实守信，出售商品和服务收费应当明码标价，货真价实。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第十五条农家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乐经营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户不得采取下列手段从事经营活动，违者由工商、旅游等部门按有关法律法规处理。</w:t>
      </w: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br/>
        <w:t>（一）强行拉客、欺客宰客；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（二）强迫游客购买商品或接受有偿服务；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（三）掺杂、掺假，以假充真，以次充好，或生产销售不合格产品；（四）欺行霸市，诋毁其他农家乐名誉；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（五）法律、法规、规章禁止的其他行为。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第十六条农家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乐发展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重点区域应成立农家乐协会，承担自我管理、自我服务职能。农家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乐协会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的设立应报当地乡镇人民政府同意，经县旅游局审核后依法登记，并纳入全县旅游行业管理。农家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乐协会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应配合县旅游局实施对农家乐的培训和行业管理。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第十七条已经成立农家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乐协会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的地方，在农家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乐经营户提供证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照办理所需资料的情况下，可以由协会向有关部门申请统一办理证照。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第十八条县旅游局要按照长兴县《农家乐服务质量通用要求》，组织开展对农家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乐经营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户和从业人员的业务培训，农家乐从业人员必须接受开展经营活动所必需的知识和技能培训，符合从业要求。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第十九条鼓励农家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乐经营户按照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《长兴县农家乐星级评定标准》自愿申请农家乐服务质量等级评定，获得星级的农家乐，给予相应的奖励。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第二十条经县农家乐评定委员会评定，对符合星级评定标准的农家乐，发给相应的星级标志，农家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乐经营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户可以在经营服务活动和宣传促销中使用。未经服务质量等级评定的农家乐，不得使用星级标志。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第二十一条县旅游局对农家乐的经营活动建立档案，实施动态管理，实行服务质量监管，每年进行复核，对不符合标准的，限期整改，对整改后仍达不到标准的，降低农家乐的星级或者取消农家乐的标志。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第二十二条农家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乐协会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和农家</w:t>
      </w:r>
      <w:proofErr w:type="gramStart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乐经营</w:t>
      </w:r>
      <w:proofErr w:type="gramEnd"/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户必须公布投诉电话，接受相关部门和游客的监督。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lastRenderedPageBreak/>
        <w:t>第二十三条本办法由县旅游局负责解释。</w:t>
      </w:r>
    </w:p>
    <w:p w:rsidR="00614B9F" w:rsidRPr="00614B9F" w:rsidRDefault="00614B9F" w:rsidP="00614B9F">
      <w:pPr>
        <w:widowControl/>
        <w:spacing w:line="240" w:lineRule="auto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614B9F">
        <w:rPr>
          <w:rFonts w:ascii="宋体" w:hAnsi="宋体" w:cs="宋体" w:hint="eastAsia"/>
          <w:snapToGrid/>
          <w:color w:val="000000"/>
          <w:sz w:val="21"/>
          <w:szCs w:val="21"/>
        </w:rPr>
        <w:t>第二十四条本办法自公布之日起实行。</w:t>
      </w:r>
    </w:p>
    <w:p w:rsidR="000F56A6" w:rsidRPr="00614B9F" w:rsidRDefault="000F56A6"/>
    <w:sectPr w:rsidR="000F56A6" w:rsidRPr="00614B9F" w:rsidSect="000F5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4B9F"/>
    <w:rsid w:val="00096F86"/>
    <w:rsid w:val="000F56A6"/>
    <w:rsid w:val="001A3705"/>
    <w:rsid w:val="00310069"/>
    <w:rsid w:val="003911C2"/>
    <w:rsid w:val="00436832"/>
    <w:rsid w:val="0044025F"/>
    <w:rsid w:val="004B0DFF"/>
    <w:rsid w:val="00614B9F"/>
    <w:rsid w:val="006259F3"/>
    <w:rsid w:val="007B59D1"/>
    <w:rsid w:val="007F03C9"/>
    <w:rsid w:val="007F25EC"/>
    <w:rsid w:val="008C31B5"/>
    <w:rsid w:val="00950EEF"/>
    <w:rsid w:val="00974889"/>
    <w:rsid w:val="00D32523"/>
    <w:rsid w:val="00E511DC"/>
    <w:rsid w:val="00F7497E"/>
    <w:rsid w:val="00FA6ABF"/>
    <w:rsid w:val="00FB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36832"/>
    <w:pPr>
      <w:widowControl w:val="0"/>
      <w:spacing w:before="100" w:beforeAutospacing="1" w:after="100" w:afterAutospacing="1" w:line="360" w:lineRule="auto"/>
      <w:outlineLvl w:val="2"/>
    </w:pPr>
    <w:rPr>
      <w:rFonts w:ascii="Times New Roman" w:eastAsia="宋体" w:hAnsi="Times New Roman"/>
      <w:snapToGrid w:val="0"/>
      <w:kern w:val="0"/>
      <w:sz w:val="24"/>
      <w:szCs w:val="20"/>
    </w:rPr>
  </w:style>
  <w:style w:type="paragraph" w:styleId="1">
    <w:name w:val="heading 1"/>
    <w:aliases w:val="H1,第一章 标题 1,Heading 0,h1,章,标题 1 Char2,标题 1 Char1 Char,标题 1 Char Char Char,标题 1 Char Char1,一级,Fab-1,l0,段标题,1"/>
    <w:basedOn w:val="a"/>
    <w:next w:val="a"/>
    <w:link w:val="1Char"/>
    <w:autoRedefine/>
    <w:qFormat/>
    <w:rsid w:val="00436832"/>
    <w:pPr>
      <w:keepNext/>
      <w:keepLines/>
      <w:pageBreakBefore/>
      <w:spacing w:before="720" w:after="480" w:line="240" w:lineRule="auto"/>
      <w:jc w:val="center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aliases w:val="H2,Chapter Heading,2nd level,h2,2,Titre2,l2,Heading 2 Char,节,二级,Heading 2 Hidden,Heading 2 CCBS,PA Major Section,heading 2,HD2,Titre3,Courseware #,Header 2,DO NOT USE_h2,chn,Chapter Number/Appendix Letter,sect 1.2,联融科技方案 标题 2,第一章 标题 2,ISO1,Fab-2,PI"/>
    <w:basedOn w:val="a"/>
    <w:next w:val="a"/>
    <w:link w:val="2Char"/>
    <w:autoRedefine/>
    <w:qFormat/>
    <w:rsid w:val="00436832"/>
    <w:pPr>
      <w:keepNext/>
      <w:keepLines/>
      <w:spacing w:before="240" w:after="240" w:line="240" w:lineRule="auto"/>
      <w:outlineLvl w:val="1"/>
    </w:pPr>
    <w:rPr>
      <w:rFonts w:cs="Times New Roman"/>
      <w:b/>
      <w:bCs/>
      <w:sz w:val="32"/>
      <w:szCs w:val="32"/>
    </w:rPr>
  </w:style>
  <w:style w:type="paragraph" w:styleId="3">
    <w:name w:val="heading 3"/>
    <w:aliases w:val="H3,标题 3 Char Char Char,Section,h3,3rd level,Section SubHeading,Résumé DI,Annotationen,hl3,Gliederung3,Gliederung31,h31,Heading 3 - old,l3,CT,Level 3 Head,Heading 3 Char Char Char Char Char,level_3,PIM 3,sect1.2.3,3,Bold Head,bh,Fab-3,标题3"/>
    <w:basedOn w:val="a"/>
    <w:next w:val="a"/>
    <w:link w:val="3Char"/>
    <w:autoRedefine/>
    <w:qFormat/>
    <w:rsid w:val="00436832"/>
    <w:pPr>
      <w:keepNext/>
      <w:keepLines/>
      <w:spacing w:beforeLines="50" w:afterLines="50"/>
    </w:pPr>
    <w:rPr>
      <w:rFonts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第一章 标题 1 Char,Heading 0 Char,h1 Char,章 Char,标题 1 Char2 Char,标题 1 Char1 Char Char,标题 1 Char Char Char Char,标题 1 Char Char1 Char,一级 Char,Fab-1 Char,l0 Char,段标题 Char,1 Char"/>
    <w:basedOn w:val="a0"/>
    <w:link w:val="1"/>
    <w:rsid w:val="00436832"/>
    <w:rPr>
      <w:rFonts w:ascii="Times New Roman" w:eastAsia="宋体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aliases w:val="H2 Char,Chapter Heading Char,2nd level Char,h2 Char,2 Char,Titre2 Char,l2 Char,Heading 2 Char Char,节 Char,二级 Char,Heading 2 Hidden Char,Heading 2 CCBS Char,PA Major Section Char,heading 2 Char,HD2 Char,Titre3 Char,Courseware # Char,chn Char"/>
    <w:basedOn w:val="a0"/>
    <w:link w:val="2"/>
    <w:rsid w:val="00436832"/>
    <w:rPr>
      <w:rFonts w:ascii="Times New Roman" w:eastAsia="宋体" w:hAnsi="Times New Roman" w:cs="Times New Roman"/>
      <w:b/>
      <w:bCs/>
      <w:snapToGrid w:val="0"/>
      <w:kern w:val="0"/>
      <w:sz w:val="32"/>
      <w:szCs w:val="32"/>
    </w:rPr>
  </w:style>
  <w:style w:type="character" w:customStyle="1" w:styleId="3Char">
    <w:name w:val="标题 3 Char"/>
    <w:aliases w:val="H3 Char1,标题 3 Char Char Char Char1,Section Char1,h3 Char1,3rd level Char1,Section SubHeading Char1,Résumé DI Char1,Annotationen Char1,hl3 Char1,Gliederung3 Char1,Gliederung31 Char1,h31 Char1,Heading 3 - old Char1,l3 Char1,CT Char1,level_3 Char"/>
    <w:basedOn w:val="a0"/>
    <w:link w:val="3"/>
    <w:rsid w:val="00436832"/>
    <w:rPr>
      <w:rFonts w:ascii="Times New Roman" w:eastAsia="宋体" w:hAnsi="Times New Roman" w:cs="Times New Roman"/>
      <w:b/>
      <w:bCs/>
      <w:snapToGrid w:val="0"/>
      <w:kern w:val="0"/>
      <w:sz w:val="30"/>
      <w:szCs w:val="32"/>
    </w:rPr>
  </w:style>
  <w:style w:type="character" w:customStyle="1" w:styleId="3Char1">
    <w:name w:val="标题 3 Char1"/>
    <w:aliases w:val="H3 Char,标题 3 Char Char Char Char,Section Char,h3 Char,3rd level Char,Section SubHeading Char,Résumé DI Char,Annotationen Char,hl3 Char,Gliederung3 Char,Gliederung31 Char,h31 Char,Heading 3 - old Char,l3 Char,CT Char,Level 3 Head Char,3 Char"/>
    <w:basedOn w:val="a0"/>
    <w:rsid w:val="00436832"/>
    <w:rPr>
      <w:rFonts w:ascii="Times New Roman" w:eastAsia="宋体" w:hAnsi="Times New Roman" w:cs="Times New Roman"/>
      <w:b/>
      <w:bCs/>
      <w:snapToGrid w:val="0"/>
      <w:kern w:val="0"/>
      <w:sz w:val="3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1653</Characters>
  <Application>Microsoft Office Word</Application>
  <DocSecurity>0</DocSecurity>
  <Lines>13</Lines>
  <Paragraphs>3</Paragraphs>
  <ScaleCrop>false</ScaleCrop>
  <Company>微软中国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2011-07-14T04:27:00Z</dcterms:created>
  <dcterms:modified xsi:type="dcterms:W3CDTF">2011-07-14T04:27:00Z</dcterms:modified>
</cp:coreProperties>
</file>